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1" w:rsidRDefault="00CD1E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3" w:lineRule="atLeast"/>
        <w:ind w:left="-142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7225" w:rsidRDefault="00600FD3" w:rsidP="00987225">
      <w:pPr>
        <w:pStyle w:val="3"/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</w:pP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"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мекемелеріндегі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алушылар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тәрбиенушілердің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жекелеген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санаттарына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қала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сыртындағы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мектеп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жанындағы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лагерьлерде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демалуы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600FD3" w:rsidRPr="00987225" w:rsidRDefault="00600FD3" w:rsidP="00987225">
      <w:pPr>
        <w:pStyle w:val="3"/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</w:pPr>
      <w:r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құжаттар қабылдау және жолдама беру</w:t>
      </w:r>
      <w:r w:rsidR="00987225" w:rsidRPr="009872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/>
        </w:rPr>
        <w:t>"</w:t>
      </w:r>
    </w:p>
    <w:p w:rsidR="00987225" w:rsidRDefault="00987225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1-тарау. Жалпы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ережелер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мекемелеріндегі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алушылар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тәрбиенушілердің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жекелеген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санаттарына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сыртындағы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мектеп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жанындағы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лагерьлерде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демалуы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z287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қағидалары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9" w:anchor="z12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10-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бабының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тармақшасына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әзірленді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мекемелеріндегі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алушылар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тәрбиенушілердің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жекелеген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санаттарына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сыртындағы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мектеп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жанындағы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лагерьлерде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демалуы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тәртібін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айқындайды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1-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Оқу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ағарту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12.04.2023 </w:t>
      </w:r>
      <w:hyperlink r:id="rId10" w:anchor="z57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95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     </w:t>
      </w:r>
      <w:bookmarkStart w:id="0" w:name="z290"/>
      <w:bookmarkEnd w:id="0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2.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Алып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тасталды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11" w:anchor="z128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тарау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тәртібі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мекемелеріндегі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алушылар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тәрбиеленушілердің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жекелеген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санаттарына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сыртындағы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мектеп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жанындағы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лагерьлерде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демалуы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тұлға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облыстардың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маңызы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қалалардың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астананың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басқармаларына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аудандардың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облыстық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маңызы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қалалардың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бөлімдеріне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ұйымдарына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Азаматтарға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арналған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үкімет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корпорациясына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электрондық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үкімет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веб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anchor="z308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2-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қосымшаға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мекемелеріндегі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алушылар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тәрбиеленушілердің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жекелеген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санаттарына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сыртындағы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мектеп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жанындағы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лагерьлерде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демалуы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қойылатын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талаптардың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тізбесінде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қойылатын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талаптар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көзделген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қоса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отырып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anchor="z306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1-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қосымшаға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нысан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3-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Оқу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ағарту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03.10.2022 </w:t>
      </w:r>
      <w:hyperlink r:id="rId14" w:anchor="z128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414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тиісті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қабылданғаны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қолхат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беріледі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     </w:t>
      </w:r>
      <w:bookmarkStart w:id="1" w:name="z294"/>
      <w:bookmarkEnd w:id="1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5.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Алып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тасталды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ҚР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15" w:anchor="z130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6.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топтамасын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курьер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жеткізуді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жүзеге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асырады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жүгінген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мерзіміне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кірмейді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7.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жүгінген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кабинетіне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сұрау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салудың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қабылданғаны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мәртебе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сондай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нәтижесін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уақыты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хабарлама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жіберіледі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8.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сәттен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бастап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ұсынылған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толықтығын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тексереді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топтамасын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ұсынбаған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қолданылу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мерзімі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кеткен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қараудан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дәлелді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өтінішті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anchor="z310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3-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қосымшаға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нысан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қолхат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8-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17" w:anchor="z131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9.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куәландыратын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баланың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куәлігі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қию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куәлік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АХАЖ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тіркеу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жүйесінде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мәліметтер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болмаған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мәліметтерді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электрондық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үкімет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шлюзі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тиісті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жүйелерден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заңдарында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өзгеше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көзделмесе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нде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жүйелерде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қамтылған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қорғалатын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құпияны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құрайтын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мәліметтерді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пайдалануға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келісімін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берушілер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асырылған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интеграция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сервисінен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тіркелген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пайдаланушының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ұялы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байланысының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абоненттік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нөмі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ұсынылған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иесінің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келісімі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парольді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хабарламасына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жауап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ретінде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қысқа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әтіндік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хабарлама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жіберу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арқылы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9-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18" w:anchor="z132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10.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қорытындысы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сыртындағы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мектеп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жанындағы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лагерьлерге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дәлелді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жауап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дайындайды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қойылатын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талаптарының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тармағында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негіздер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анықталған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Әкімшілік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әсімдік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кодексінің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ӘПК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19" w:anchor="z387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73-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бабына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мерзі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қталғанға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кешіктірмей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алдын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шешімдер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сондай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алдын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ұстанымнын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білдіруге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мүмкінді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тыңдауды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өткізу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уақыты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хабарламаны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Тыңдау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әсімі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АӨК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anchor="z392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74-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бабына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жүргізіледі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Тыңдау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нәтижелері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дәлелді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тартуды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10-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Оқу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ағарту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03.10.2022 </w:t>
      </w:r>
      <w:hyperlink r:id="rId21" w:anchor="z130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414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     </w:t>
      </w:r>
      <w:bookmarkStart w:id="2" w:name="z300"/>
      <w:bookmarkEnd w:id="2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11.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Алып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тасталды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22" w:anchor="z134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lastRenderedPageBreak/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12.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куәлігін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нотариалды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расталған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сенімхат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өкілі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жүзеге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асырылады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нәтижені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сақтауды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қамтамасыз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сақтау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тапсырады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өткеннен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жүгінген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сұранысы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жібереді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13.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қараудың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жалпы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мерзімі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жолдама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құрайды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13-1.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бабы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anchor="z42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2-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тармағының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11)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тармақшасына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ақпараттандыру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саласындағы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уәкілетті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белгілеген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тәртіппен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сатысы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мониторингінің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жүйесіне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деректерді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енгізуді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қамтамасыз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жүйе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істен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шыққан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кезде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анықталған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сәттен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бастап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дереу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коммуникациялық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инфрақұрылымға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жауапты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құрылымдық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бөлімшесінің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қызметкерін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хабардар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ақпаратты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коммуникациялық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инфрақұрылымға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жауапты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Қағидалардың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тармағының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екінші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бөлігінде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мерзім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техникалық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хаттама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қояды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балалардың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құқықтарын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қорғау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саласындағы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уәкілетті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берушілерді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ірыңғай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байланыс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орталығын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қойылатын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талаптарға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енгізілген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өзгерістер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толықтырулар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хабардар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2-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тарау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13-1-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тармақпен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толықтырылды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24" w:anchor="z135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);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Оқу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ағарту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03.10.2022 </w:t>
      </w:r>
      <w:hyperlink r:id="rId25" w:anchor="z132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414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бұйрықтарымен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3-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тарау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процесінде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к</w:t>
      </w:r>
      <w:proofErr w:type="gramEnd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өсетілетін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берушінің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оның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лауазымды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адамдарының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шешімдеріне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әрекетіне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әрекетсіздігіне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шағымдану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тәртібі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14.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мәселелері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әрекетсіздігіне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басшысының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сапасын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бағалау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бақылау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жөніндегі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уәкілетті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қарайтын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заңнамасына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беріледі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мәселелері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бойынша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қарауды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жоғары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тұ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әкімшілік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лауазымды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тұлға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қарайтын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жүргізеді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әрекетсіздігіне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лауазымды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тұлғағ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беріледі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әрекетсіздігіне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жасалып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отырған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лауазымды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тұлға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түскен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бастап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кешіктірмей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қарайтын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жібереді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ретте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лауазымды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тұлға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әрекетсіздікке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үш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талаптарды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қанағаттандыратын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шешімді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әкімшілік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қабылдаса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қарайтын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жібермейді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берушінің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келіп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түскен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бабы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6" w:anchor="z75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2-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тармағына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тіркелген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бастап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қаралуға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жатады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қарайтын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түскен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тіркелген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бастап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жұмыс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күні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ішінде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қаралуға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жатады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өзгеше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көзделмесе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сот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жүгінуге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сотқа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дейінгі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тәртіппен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шағым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жасалғаннан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жол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беріледі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 14-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тармақ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Білім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және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ғылым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21.02.2022 </w:t>
      </w:r>
      <w:hyperlink r:id="rId27" w:anchor="z136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shd w:val="clear" w:color="auto" w:fill="F4F5F6"/>
            <w:lang w:eastAsia="ru-RU"/>
          </w:rPr>
          <w:t>№ 55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4F5F6"/>
          <w:lang w:eastAsia="ru-RU"/>
        </w:rPr>
        <w:t>.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15.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нәтижесімен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келіспеген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жағдайда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алушы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заңнамасында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белгіленген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тәртіппен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сотқа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жүгінеді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600FD3" w:rsidRPr="00987225" w:rsidTr="009872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306"/>
            <w:bookmarkEnd w:id="3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білім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мекемелеріндегі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білім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алушылар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тәрбиенушілердің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жекелеген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санаттарына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қала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сыртындағы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мектеп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жанындағы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лагерьлерде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демалуы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үшін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құжаттар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қабылдау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жолдама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қызметті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қағидаларына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қосымша</w:t>
            </w:r>
          </w:p>
        </w:tc>
      </w:tr>
      <w:tr w:rsidR="00600FD3" w:rsidRPr="00987225" w:rsidTr="009872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Нысан</w:t>
            </w:r>
          </w:p>
        </w:tc>
      </w:tr>
      <w:tr w:rsidR="00600FD3" w:rsidRPr="00987225" w:rsidTr="009872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 басшысына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(органның атауы)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__________________________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(елді мекен атауы, тұ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ғылықты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мекенжайы, телефоны)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мекенжайы бойынша тұратын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___________________________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(өтініш берушінің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тегі, аты, әкесінің аты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(бар болғанда) және жеке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сәйкестендіру нөмірі)</w:t>
            </w:r>
          </w:p>
        </w:tc>
      </w:tr>
    </w:tbl>
    <w:p w:rsidR="00600FD3" w:rsidRPr="00987225" w:rsidRDefault="00600FD3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Өтініш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      Ескерту. 1-қосымша жаңа редакцияда - 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Оқу-ағарту министрінің 12.04.2023 </w:t>
      </w:r>
      <w:hyperlink r:id="rId28" w:anchor="z181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№ 95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 Менің кәмелет 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 толмаған (тегі, аты, әкесінің аты (бар болғанда) туған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күні және жеке сәйкестендіру нөмі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і) (мектеп № және сынып литерін көрсету)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оқитын балам _______________________________________________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(оқу жылын көрсету)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қала сыртындағы және мектеп жанындағы лагерьлерге жолдамамен қамтамасыз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етілетін бі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ім алушылар мен тәрбиеленушілердің тізіміне қосуды сұраймын.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Ақпараттық жүйелердегі "Дербес деректер және оларды қорғ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туралы"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Қазақстан Республикасыны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ң </w:t>
      </w:r>
      <w:hyperlink r:id="rId29" w:anchor="z1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З</w:t>
        </w:r>
        <w:proofErr w:type="gramEnd"/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аңымен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қорғалатын құпия мәліметтерді қолдануға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      келісі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беремін.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 "___" _____________20__ жыл қолы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600FD3" w:rsidRPr="00987225" w:rsidTr="009872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" w:name="z308"/>
            <w:bookmarkEnd w:id="4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"Мемлекеттік білім беру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мекемелеріндегі білім алушылар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мен тәрбиенушілердің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жекелеген санаттарына қала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сыртындағы және мектеп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жанындағы лагерьлерде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демалуы үшін құжаттар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қабылдау және жолдама беру"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мемлекеттік қызметті кө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рсету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қағидаларына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2-қосымша</w:t>
            </w:r>
          </w:p>
        </w:tc>
      </w:tr>
    </w:tbl>
    <w:p w:rsidR="00600FD3" w:rsidRPr="00987225" w:rsidRDefault="00600FD3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"Мемлекеттік білім беру мекемелеріндегі білім алушылар мен тәрбиенушілердің жекелеген санаттарына қ</w:t>
      </w:r>
      <w:proofErr w:type="gramStart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ала</w:t>
      </w:r>
      <w:proofErr w:type="gramEnd"/>
      <w:r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сыртындағы және мектеп жанындағы лагерьлерде демалуы үшін құжаттар қабылдау және жолдама беру" мемлекеттік қызмет көрсетуге қойылатын негізгі талаптардың тізбесі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      Ескерту. 2-қосымша жаңа редакцияда - 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Оқу-ағарту министрінің 12.04.2023 </w:t>
      </w:r>
      <w:hyperlink r:id="rId30" w:anchor="z184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№ 95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21"/>
        <w:gridCol w:w="5614"/>
      </w:tblGrid>
      <w:tr w:rsidR="00600FD3" w:rsidRPr="00987225" w:rsidTr="00600F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Көрсетілетін қызметті берушінің атауы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Республикалық маңызы бар қалалардың және астананың бі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 басқармалары, аудандардағы, облыстық маңызы бар қалалардағы білім бөлімдері, білім беру ұйымдары</w:t>
            </w:r>
          </w:p>
        </w:tc>
      </w:tr>
      <w:tr w:rsidR="00600FD3" w:rsidRPr="00987225" w:rsidTr="009872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Мемлекеттік қызметті ұсыну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Өтіні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қабылдау және мемлекеттік қызмет көрсетудің нәтижесін беру: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1) көрсетілетін қызметті берушінің кеңсесі;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2) "Азаматтарға арналған үкімет" мемлекеттік корпорациясы" коммерциялық емес қоғамы (бұдан әрі - Мемлекеттік корпорация);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3) білім беру ұйымдары;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4) "электрондық үкіметтің" www.egov.kz веб-порталы (бұдан ә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- портал) арқылы жүзеге асырылады.</w:t>
            </w:r>
          </w:p>
        </w:tc>
      </w:tr>
      <w:tr w:rsidR="00600FD3" w:rsidRPr="00987225" w:rsidTr="00600F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 w:eastAsia="ru-RU"/>
              </w:rPr>
              <w:t>Мемлекеттік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 w:eastAsia="ru-RU"/>
              </w:rPr>
              <w:br/>
              <w:t>қызмет көрсету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мерзі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көрсетілетін қызметті берушіге, Мемлекеттік корпорацияға құжаттарды тапсырған сәттен бастап, сондай-ақ портал арқылы өтініш берген кезде – 5 (бес) жұмыс күні.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2) көрсетілетін қызметті берушіде немесе Мемлекеттік корпорацияда құжаттарды тапсыру үшін күтудің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ұқсат берілетін ең ұзақ уақыты – 15 минут;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3) көрсетілетін қызметті берушіде қызмет көрсетудің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ұқсат берілетін ең ұзақ уақыты – 30 минут, Мемлекеттік корпорацияда – 15 минут.</w:t>
            </w:r>
          </w:p>
        </w:tc>
      </w:tr>
      <w:tr w:rsidR="00600FD3" w:rsidRPr="00987225" w:rsidTr="00600F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Көрсету нысаны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Электрондық (ішінара автоматтандырылған)\ қағ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 ж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үзінде</w:t>
            </w:r>
          </w:p>
        </w:tc>
      </w:tr>
      <w:tr w:rsidR="00600FD3" w:rsidRPr="00987225" w:rsidTr="00600F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Мемлекеттік қызметті көрсету нәтижесі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ала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сыртындағы және мектеп жанындағы лагерьлерге жолдама не осы мемлекеттік қызмет көрсетуге қойылатын талаптарының 9-тармағында көрсетілген негіздер бойынша мемлекеттік қызмет көрсетуден бас тарту туралы дәлелді жауап.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Порталда мемлекеттік қызмет көрсетудің нәтижесі көрсетілетін қызметті алушының "жеке кабинеті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не" ж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іберіледі және сақталады.</w:t>
            </w:r>
          </w:p>
        </w:tc>
      </w:tr>
      <w:tr w:rsidR="00600FD3" w:rsidRPr="00987225" w:rsidTr="009872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Көрсетілетін қызметті алушыдан алынатын тө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лем м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өлшері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Тегі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gramEnd"/>
          </w:p>
        </w:tc>
      </w:tr>
      <w:tr w:rsidR="00600FD3" w:rsidRPr="00987225" w:rsidTr="009872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Көрсетілетін қызметті берушінің, Мемлекеттік корпорацияның жә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ақпарат объектілерінің жұмыс графигі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көрсетілетін қызметті берушіде: Қазақстан Республикасының еңбек заңнамасына сәйкес демалыс және мереке күндерін қоспағанда, дүйсенбіден бастап жұманы қоса алғанда сағат 13.00-ден 14.30-ға дейінгі аралықтағы түскі үзіліспен сағат 9.00-ден 18.30-ға дейін;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2) Мемлекеттік корпорацияда: еңбек заңнамасына сәйкес демалыс және мерекелік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үндерден басқа, дүйсенбіден бастап жұманы қоса алғанда үзіліссіз сағат 9.00-ден 18.00-ге дейін, Мемлекеттік корпорацияның халыққа қызмет көрсететін кезекші бөлімдері дүйсенбіден бастап жұманы қоса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алғанда сағат 9.00-ден 20.00-ге дейін және сенбі күні сағат 9.00-ден 13.00-ге дейін жүзеге асырылады.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Қабылдау "электрондық" кезек тәртібімен, көрсетілетін қызметті алушының тіркелген жері бойынша жеделдетілген қызмет көрсетусіз жүзеге асырылады, портал арқылы электрондық кезекті "брондауға" болады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3) порталда: жөндеу жұмыстарын жүргізуге байланысты техникалық үзілістерді қоспағанда тә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 бойы (Қазақстан Республикасының еңбек заңнамасына сәйкес көрсетілетін қызметті алушы жұмыс уақыты аяқталғаннан кейін, демалыс және мереке күндері жүгінген жағдайда өтінішті қабылдау және мемлекеттік қызмет көрсету нәтижесін беру келесі жұмыс күні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 ж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үзеге асырылады).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Мемлекеттік қызмет көрсету орындарының мекенжайлары: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1) Қазақстан Республикасы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қу-ағарту министрлігінің: www.edu.gov.kz интернет-ресурсында;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2) www.egov.kz порталында орналасқан.</w:t>
            </w:r>
          </w:p>
        </w:tc>
      </w:tr>
      <w:tr w:rsidR="00600FD3" w:rsidRPr="00987225" w:rsidTr="009872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 w:eastAsia="ru-RU"/>
              </w:rPr>
              <w:t>Мемлекеттік қызмет көрсету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үшін көрсетілетін қызметті алушыдан талап етілетін құжаттар мен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әліметтердің тізбесі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Көрсетілетін қызметті берушіге және Мемлекеттік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корпорация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 жүгінген кезде: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1) өтініш;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2) жеке басын куәландыратын құжат немесе цифрлық құжаттар сервисінен электрондық құжат (жеке басын сәйкестендіру үшін қажет);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3) "АХАЖ тіркеу пункті" ақпараттық жүйесінде (бұдан ә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– АХАЖ АЖ) мәліметтер болмаған кезде электрондық нысандағы баланың (балалардың) туу туралы куәлігі немесе оның қағаз жеткізгіштегі көшірмесі;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4) неке қию немесе некені бұзу туралы куәліктің көшірмесі (АХАЖ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АЖ-да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мәліметтер болмаған кезде);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атқарушының. 2020 жылғы 30 қазандағы № Қ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ДСМ-175/2020 </w:t>
            </w:r>
            <w:hyperlink r:id="rId31" w:anchor="z2" w:history="1">
              <w:r w:rsidRPr="00987225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val="ru-RU" w:eastAsia="ru-RU"/>
                </w:rPr>
                <w:t>бұйрығымен</w:t>
              </w:r>
            </w:hyperlink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(бұдан әрі - №ҚР ДСМ-175/2020 бұйрық) (Нормативтік құқықтық актілерді мемлекеттік тіркеу тізілімінде № 21579 болып тіркелген) бекітілген 071/у нысанына сәйкес сауықтыру лагеріне баратын оқ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ушы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 берілетін медициналық анықтама;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6) мәртебесін растайтын құжаттың көшірмесі: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мемлекеттік атаулы әлеуметтік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өмекті алуға құқығы бар отбасылардан шыққан балалар үшін -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жан басына шаққанда орташа табысы күн көріс деңгейінен төмен, мемлекеттік атаулы әлеуметтік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түрлерінен түсетін табыстары туралы, балаларға және басқа да асырауындағыларға төленетін алимент тү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індегі табыстары туралы анықтама);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отбасыларда тәрбиеленетін жетім балалар, ата-анасының қамқорлығынсыз қалған балалар үшін - отбасыларда тәрбиеленетін жетім балалар мен ата-анасының қамқорлығынсыз қалған балалар үшін қорғаншылықты (қамқоршылықты), патронаттық тәрбиелеуді бекіту туралы уәкілетті органның шешімі;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қ-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тұрмыстық жағдайын тексеру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негізінде алқалы органның шешімі.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порталда: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1) көрсетілетін қызметті алушының ЭЦ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Қ-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сымен немесе көрсетілетін қызметті алушының ұялы байланыс операторы ұсынған абоненттік нөмірі порталдың есеп жазбасына тіркелген және қосылған кезде, бір рет пайдаланатын құпия сөзбен куәландырылған электрондық құжат нысанындағы өтініш;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2) "АХАЖ тіркеу пункті" ақпараттық жүйесінде мәліметтер болмаған жағдайда (бұдан ә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- АХАЖ АЖ) не Қазақстан Республикасынан тыс жерде туылған жағдайда баланың туу туралы куәлігінің электрондық көшірмесі;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3) неке қию немесе некені бұзу туралы куәліктің электрондық көшірмесі (АХАЖ АЖ-да мәліметтер болмаған кезде);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4) № Қ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ДСМ-175/2020 </w:t>
            </w:r>
            <w:hyperlink r:id="rId32" w:anchor="z2" w:history="1">
              <w:r w:rsidRPr="00987225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val="ru-RU" w:eastAsia="ru-RU"/>
                </w:rPr>
                <w:t>бұйрықпен</w:t>
              </w:r>
            </w:hyperlink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бекітілген нысанға сәйкес сауықтыру лагерiне баратын мектеп оқушысына берілетін медициналық анықтаманың электрондық көшірмесі;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5) мәртебесін растайтын құжаттың электрондық көшірмесі: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мемлекеттік атаулы әлеуметтік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өмекті алуға құқығы бар отбасылардан шыққан балалар үшін -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жан басына шаққанда орташа табысы күн көріс деңгейінен төмен, мемлекеттік атаулы әлеуметтік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түрлерінен түсетін табыстары туралы, балаларға және басқа да асырауындағыларға төленетін алимент тү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індегі табыстары туралы анықтама);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отбасыларда тәрбиеленетін жетім балалар, ата-анасының қамқорлығынсыз қалған балалар үшін - отбасыларда тәрбиеленетін жетім балалар мен ата-анасының қамқорлығынсыз қалған балалар үшін қорғаншылықты (қамқоршылықты), патронаттық тәрбиелеуді бекіту туралы уәкілетті органның шешімі;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қ-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тұрмыстық жағдайын тексеру негізінде алқалы органның шешімі.</w:t>
            </w:r>
          </w:p>
        </w:tc>
      </w:tr>
      <w:tr w:rsidR="00600FD3" w:rsidRPr="00987225" w:rsidTr="00600FD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</w:t>
            </w:r>
            <w:bookmarkStart w:id="5" w:name="_GoBack"/>
            <w:bookmarkEnd w:id="5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қстан 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 w:eastAsia="ru-RU"/>
              </w:rPr>
              <w:t>Республикасының заңнамасында белгіленген мемлекеттік қызмет көрсетуден бас тарту үшін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негіздер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көрсетілетін қызметті алушы мемлекеттік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өрсетілетін қызметті алу үшін ұсынған құжаттардың және (немесе) олардағы деректердің (мәліметтердің) анық еместігін анықтау;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2) "Мемлекеттік білім беру мекемелерінің мемлекеттік атаулы әлеуметтік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балалар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алу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қағидаларын бекіту туралы" Қазақстан Республикасы Үкіметінің 2008 жылғы 25 қаңтардағы № 64 </w:t>
            </w:r>
            <w:hyperlink r:id="rId33" w:anchor="z1" w:history="1">
              <w:r w:rsidRPr="00987225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val="ru-RU" w:eastAsia="ru-RU"/>
                </w:rPr>
                <w:t>қаулысында</w:t>
              </w:r>
            </w:hyperlink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белгіленген талаптарға көрсетілетін қызметті алушының сәйкес келмеуі;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аңының </w:t>
            </w:r>
            <w:hyperlink r:id="rId34" w:anchor="z1" w:history="1">
              <w:r w:rsidRPr="00987225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val="ru-RU" w:eastAsia="ru-RU"/>
                </w:rPr>
                <w:t>8-бабына</w:t>
              </w:r>
            </w:hyperlink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600FD3" w:rsidRPr="00987225" w:rsidTr="009872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Мемлекеттік қызмет көрсетудің, оның ішінде 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Көрсетілетін қызметті алушының ЭЦҚ болған жағдайда мемлекеттік 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өрсетілетін қызметті портал арқылы электрондық нысанда алуға мүмкіндігі бар.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Көрсетілетін қызметті алушы мемлекеттік қызмет көрсету тәртібі мен мәртебесі туралы ақпаратты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ірыңғай байланыс орталығы арқылы алады: 1414, 8 800 080 7777.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Цифрлық құжаттар сервисі мобильді қосымшада авторландырылған пайдаланушылар үшін қолжетімді.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Цифрлық құжатты пайдалану үшін электрондық-цифрлық қолтаңбаны немесе бір реттік парольді пайдалана отырып, мобильді қосымшада авторландырудан өту, одан әрі "цифрлық құжаттар" бөліміне өтіп, қажетті құжатты таңдау қажет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.Ж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үктеу</w:t>
            </w:r>
          </w:p>
        </w:tc>
      </w:tr>
    </w:tbl>
    <w:p w:rsidR="00600FD3" w:rsidRPr="00987225" w:rsidRDefault="00600FD3" w:rsidP="009872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600FD3" w:rsidRPr="00987225" w:rsidTr="0098722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" w:name="z310"/>
            <w:bookmarkEnd w:id="6"/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7225" w:rsidRDefault="00987225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"Мемлекеттік білім беру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мекемелеріндегі білім алушылар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мен тәрбиенушілердің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жекелеген санаттарына қала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сыртындағы және мектеп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жанындағы лагерьлерде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демалуы үшін құжаттар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қабылдау және жолдама беру"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мемлекеттік қызметті кө</w:t>
            </w:r>
            <w:proofErr w:type="gramStart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рсету</w:t>
            </w:r>
            <w:proofErr w:type="gramEnd"/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қағидаларына</w:t>
            </w: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3-қосымша</w:t>
            </w:r>
          </w:p>
        </w:tc>
      </w:tr>
      <w:tr w:rsidR="00600FD3" w:rsidRPr="00987225" w:rsidTr="00600FD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Нысан</w:t>
            </w:r>
          </w:p>
        </w:tc>
      </w:tr>
    </w:tbl>
    <w:p w:rsidR="00987225" w:rsidRDefault="00987225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</w:p>
    <w:p w:rsidR="00987225" w:rsidRDefault="00987225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</w:p>
    <w:p w:rsidR="00600FD3" w:rsidRPr="00987225" w:rsidRDefault="00987225" w:rsidP="0098722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 xml:space="preserve">                                    </w:t>
      </w:r>
      <w:r w:rsidR="00600FD3" w:rsidRPr="0098722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/>
        </w:rPr>
        <w:t>Құжаттарды қабылдаудан бас тарту туралы қолхат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Ескерту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3-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қосымша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жаңа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редакцияда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Қ</w:t>
      </w:r>
      <w:proofErr w:type="gramStart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Оқу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ағарту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министрінің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12.04.2023 </w:t>
      </w:r>
      <w:hyperlink r:id="rId35" w:anchor="z187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95</w:t>
        </w:r>
      </w:hyperlink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алғашқы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ресми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жарияланған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күнінен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кейін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күнтізбелік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он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күн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өткен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соң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қолданысқа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енгізіледі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бұйрығымен</w:t>
      </w:r>
      <w:r w:rsidRPr="009872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қызметтер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туралы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Қазақстан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Заңының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6" w:anchor="z24" w:history="1"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20-</w:t>
        </w:r>
        <w:r w:rsidRPr="0098722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val="ru-RU" w:eastAsia="ru-RU"/>
          </w:rPr>
          <w:t>бабының</w:t>
        </w:r>
      </w:hyperlink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тармағын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басшылыққа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алып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Азаматтарға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арналған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үкімет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коммерциялық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қоғамы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филиалының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бөлімі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мекенжайды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қойылатын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талаптарында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көзделген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тізбеге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сәйкес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Сіз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ұсынған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топтамасының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толық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болмауына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байланысты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көрсетілетін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қызметтің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атауы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көрсетуге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қабылдаудан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тартады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атап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айтқанда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Жоқ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құжаттардың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атауы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1) ____________________________________________________;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2) ____________________________________________________;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3) ____________________________________________________.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қолхат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</w:t>
      </w:r>
      <w:proofErr w:type="gramStart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тарапқа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біреуден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данада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жасалды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әкесінің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болғанда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Мемлекеттік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корпорацияның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қызметкері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қолы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Орындаушының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әкесінің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болғанда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Қабылдаушының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тегі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әкесінің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аты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болғанда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</w:t>
      </w:r>
    </w:p>
    <w:p w:rsidR="00600FD3" w:rsidRPr="00987225" w:rsidRDefault="00600FD3" w:rsidP="00987225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72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(көрсетілетін қызметті алушының қолы) "___"____________ 20__ жыл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</w:tblGrid>
      <w:tr w:rsidR="00600FD3" w:rsidRPr="00987225" w:rsidTr="00600FD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00FD3" w:rsidRPr="00987225" w:rsidRDefault="00600FD3" w:rsidP="00987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5721" w:rsidRPr="00987225" w:rsidRDefault="00405721" w:rsidP="009872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05721" w:rsidRPr="00987225">
      <w:footerReference w:type="default" r:id="rId37"/>
      <w:pgSz w:w="11906" w:h="16838"/>
      <w:pgMar w:top="425" w:right="850" w:bottom="822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DB" w:rsidRDefault="00E40ADB">
      <w:pPr>
        <w:spacing w:line="240" w:lineRule="auto"/>
      </w:pPr>
      <w:r>
        <w:separator/>
      </w:r>
    </w:p>
  </w:endnote>
  <w:endnote w:type="continuationSeparator" w:id="0">
    <w:p w:rsidR="00E40ADB" w:rsidRDefault="00E40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oto sans cjk sc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W w:w="0" w:type="auto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7291"/>
    </w:tblGrid>
    <w:tr w:rsidR="00405721">
      <w:trPr>
        <w:trHeight w:val="438"/>
      </w:trPr>
      <w:tc>
        <w:tcPr>
          <w:tcW w:w="729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05721" w:rsidRDefault="0040572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tabs>
              <w:tab w:val="left" w:pos="4105"/>
            </w:tabs>
            <w:spacing w:after="0"/>
          </w:pPr>
        </w:p>
      </w:tc>
    </w:tr>
  </w:tbl>
  <w:p w:rsidR="00405721" w:rsidRDefault="00CD1E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53" w:lineRule="atLeast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DB" w:rsidRDefault="00E40ADB">
      <w:pPr>
        <w:spacing w:after="0"/>
      </w:pPr>
      <w:r>
        <w:separator/>
      </w:r>
    </w:p>
  </w:footnote>
  <w:footnote w:type="continuationSeparator" w:id="0">
    <w:p w:rsidR="00E40ADB" w:rsidRDefault="00E40A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6A"/>
    <w:rsid w:val="001F39E0"/>
    <w:rsid w:val="00290AA0"/>
    <w:rsid w:val="00405721"/>
    <w:rsid w:val="004112E8"/>
    <w:rsid w:val="00463CB5"/>
    <w:rsid w:val="005E187E"/>
    <w:rsid w:val="00600FD3"/>
    <w:rsid w:val="0074253E"/>
    <w:rsid w:val="00915658"/>
    <w:rsid w:val="00987225"/>
    <w:rsid w:val="00AF430F"/>
    <w:rsid w:val="00CD1E56"/>
    <w:rsid w:val="00CF566A"/>
    <w:rsid w:val="00E40ADB"/>
    <w:rsid w:val="00E77B05"/>
    <w:rsid w:val="725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a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ab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ac">
    <w:name w:val="Body Text"/>
    <w:basedOn w:val="a"/>
    <w:pPr>
      <w:spacing w:after="140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List"/>
    <w:basedOn w:val="ac"/>
    <w:rPr>
      <w:rFonts w:cs="Lohit Devanagari"/>
    </w:rPr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customStyle="1" w:styleId="11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a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ab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ac">
    <w:name w:val="Body Text"/>
    <w:basedOn w:val="a"/>
    <w:pPr>
      <w:spacing w:after="140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List"/>
    <w:basedOn w:val="ac"/>
    <w:rPr>
      <w:rFonts w:cs="Lohit Devanagari"/>
    </w:rPr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table" w:styleId="a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customStyle="1" w:styleId="11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78" TargetMode="External"/><Relationship Id="rId13" Type="http://schemas.openxmlformats.org/officeDocument/2006/relationships/hyperlink" Target="https://adilet.zan.kz/kaz/docs/V2000020478" TargetMode="External"/><Relationship Id="rId18" Type="http://schemas.openxmlformats.org/officeDocument/2006/relationships/hyperlink" Target="https://adilet.zan.kz/kaz/docs/V2200026885" TargetMode="External"/><Relationship Id="rId26" Type="http://schemas.openxmlformats.org/officeDocument/2006/relationships/hyperlink" Target="https://adilet.zan.kz/kaz/docs/Z1300000088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kaz/docs/V2200030011" TargetMode="External"/><Relationship Id="rId34" Type="http://schemas.openxmlformats.org/officeDocument/2006/relationships/hyperlink" Target="https://adilet.zan.kz/kaz/docs/Z13000000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kaz/docs/V2000020478" TargetMode="External"/><Relationship Id="rId17" Type="http://schemas.openxmlformats.org/officeDocument/2006/relationships/hyperlink" Target="https://adilet.zan.kz/kaz/docs/V2200026885" TargetMode="External"/><Relationship Id="rId25" Type="http://schemas.openxmlformats.org/officeDocument/2006/relationships/hyperlink" Target="https://adilet.zan.kz/kaz/docs/V2200030011" TargetMode="External"/><Relationship Id="rId33" Type="http://schemas.openxmlformats.org/officeDocument/2006/relationships/hyperlink" Target="https://adilet.zan.kz/kaz/docs/P080000064_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2000020478" TargetMode="External"/><Relationship Id="rId20" Type="http://schemas.openxmlformats.org/officeDocument/2006/relationships/hyperlink" Target="https://adilet.zan.kz/kaz/docs/K2000000350" TargetMode="External"/><Relationship Id="rId29" Type="http://schemas.openxmlformats.org/officeDocument/2006/relationships/hyperlink" Target="https://adilet.zan.kz/kaz/docs/Z13000000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V2200026885" TargetMode="External"/><Relationship Id="rId24" Type="http://schemas.openxmlformats.org/officeDocument/2006/relationships/hyperlink" Target="https://adilet.zan.kz/kaz/docs/V2200026885" TargetMode="External"/><Relationship Id="rId32" Type="http://schemas.openxmlformats.org/officeDocument/2006/relationships/hyperlink" Target="https://adilet.zan.kz/kaz/docs/V2000021579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V2200026885" TargetMode="External"/><Relationship Id="rId23" Type="http://schemas.openxmlformats.org/officeDocument/2006/relationships/hyperlink" Target="https://adilet.zan.kz/kaz/docs/Z1300000088" TargetMode="External"/><Relationship Id="rId28" Type="http://schemas.openxmlformats.org/officeDocument/2006/relationships/hyperlink" Target="https://adilet.zan.kz/kaz/docs/V2300032291" TargetMode="External"/><Relationship Id="rId36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2300032291" TargetMode="External"/><Relationship Id="rId19" Type="http://schemas.openxmlformats.org/officeDocument/2006/relationships/hyperlink" Target="https://adilet.zan.kz/kaz/docs/K2000000350" TargetMode="External"/><Relationship Id="rId31" Type="http://schemas.openxmlformats.org/officeDocument/2006/relationships/hyperlink" Target="https://adilet.zan.kz/kaz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Z1300000088" TargetMode="External"/><Relationship Id="rId14" Type="http://schemas.openxmlformats.org/officeDocument/2006/relationships/hyperlink" Target="https://adilet.zan.kz/kaz/docs/V2200030011" TargetMode="External"/><Relationship Id="rId22" Type="http://schemas.openxmlformats.org/officeDocument/2006/relationships/hyperlink" Target="https://adilet.zan.kz/kaz/docs/V2200026885" TargetMode="External"/><Relationship Id="rId27" Type="http://schemas.openxmlformats.org/officeDocument/2006/relationships/hyperlink" Target="https://adilet.zan.kz/kaz/docs/V2200026885" TargetMode="External"/><Relationship Id="rId30" Type="http://schemas.openxmlformats.org/officeDocument/2006/relationships/hyperlink" Target="https://adilet.zan.kz/kaz/docs/V2300032291" TargetMode="External"/><Relationship Id="rId35" Type="http://schemas.openxmlformats.org/officeDocument/2006/relationships/hyperlink" Target="https://adilet.zan.kz/kaz/docs/V2300032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EFAE-737D-4A38-9A1C-36E239D3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Еришева Сара Беккужевна</dc:creator>
  <cp:lastModifiedBy>Админ</cp:lastModifiedBy>
  <cp:revision>2</cp:revision>
  <dcterms:created xsi:type="dcterms:W3CDTF">2023-11-10T12:47:00Z</dcterms:created>
  <dcterms:modified xsi:type="dcterms:W3CDTF">2023-11-10T12:47:00Z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1049-12.2.0.13215</vt:lpwstr>
  </property>
  <property fmtid="{D5CDD505-2E9C-101B-9397-08002B2CF9AE}" pid="8" name="ICV">
    <vt:lpwstr>AE0A7F12762A4D0EA7DDEE5309E05EDC_13</vt:lpwstr>
  </property>
</Properties>
</file>